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Dr. Alexandre Scarcioffolo</w:t>
      </w:r>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in order to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In order to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(Wosik, 2020). The adoption of telehealth increased during the COVID-19 pandemic and it has become more mainstream in recent years (Wosik, 2020 </w:t>
      </w:r>
      <w:r w:rsidR="00E7707E">
        <w:rPr>
          <w:rFonts w:ascii="Arial" w:hAnsi="Arial" w:cs="Arial"/>
          <w:color w:val="000000"/>
          <w:sz w:val="22"/>
          <w:szCs w:val="22"/>
        </w:rPr>
        <w:t xml:space="preserve">; </w:t>
      </w:r>
      <w:r>
        <w:rPr>
          <w:rFonts w:ascii="Arial" w:hAnsi="Arial" w:cs="Arial"/>
          <w:color w:val="000000"/>
          <w:sz w:val="22"/>
          <w:szCs w:val="22"/>
        </w:rPr>
        <w:t xml:space="preserve">Gajarawala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actually an improvement for lower income populations who might not have access to the internet or technology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equality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 xml:space="preserve">has evolved significantly in recent years, particularly during the COVID-19 pandemic when there was a need for a fast adoption and integration of telehealth into healthcare systems (Wosik, 2020 ; Gajarawala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(Lythreatis et al., 2022 ; Douthit et al., 2015). Although it may seem like telehealth can be used to connect rural hospitals with specialists, increase access care for underserved communities, and make the healthcare system more efficient, it is important to assess whether this is actually the case given the barriers socioeconomically disadvantaged populations may still face to access telehealth (Wosik,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seeked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59AEF01F"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that people who used telehealth had higher overall medical costs. However this correlation does not necessarily mean that telehealth is more expensive but 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check ups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in regards to telehealth is that the reimbursement policies vary significantly between insurers, with Medicare and Medicaid offering limited coverage compared to private insurers (Gajarawala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bar plots to visualize TelehealthVisits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feols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Feols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Pr="00BA2EC2"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1F09A58">
            <wp:extent cx="3544479" cy="2158738"/>
            <wp:effectExtent l="0" t="0" r="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96437" cy="2190382"/>
                    </a:xfrm>
                    <a:prstGeom prst="rect">
                      <a:avLst/>
                    </a:prstGeom>
                    <a:ln/>
                  </pic:spPr>
                </pic:pic>
              </a:graphicData>
            </a:graphic>
          </wp:inline>
        </w:drawing>
      </w:r>
    </w:p>
    <w:p w14:paraId="1FCE0BD9" w14:textId="512C88E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The y-axis represents the sum of the number of telehealth visits for each category of state.</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lastRenderedPageBreak/>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 xml:space="preserve">Another key factor contributing to these barriers in access to telehealth is the digital divide, with about 1/4 of American households in rural areas lacking internet access, making virtual healthcare inaccessible to many who need it the most (Lythreatis et al., 2022 </w:t>
      </w:r>
      <w:r w:rsidR="00E7707E">
        <w:rPr>
          <w:rFonts w:ascii="Arial" w:hAnsi="Arial" w:cs="Arial"/>
          <w:sz w:val="22"/>
          <w:szCs w:val="22"/>
        </w:rPr>
        <w:t>;</w:t>
      </w:r>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716F247">
            <wp:extent cx="3874416" cy="2243579"/>
            <wp:effectExtent l="0" t="0" r="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24164" cy="2272387"/>
                    </a:xfrm>
                    <a:prstGeom prst="rect">
                      <a:avLst/>
                    </a:prstGeom>
                    <a:ln/>
                  </pic:spPr>
                </pic:pic>
              </a:graphicData>
            </a:graphic>
          </wp:inline>
        </w:drawing>
      </w:r>
    </w:p>
    <w:p w14:paraId="393BE38C" w14:textId="1924FB31" w:rsidR="00306E2B" w:rsidRPr="00306E2B" w:rsidRDefault="00306E2B" w:rsidP="00306E2B">
      <w:pPr>
        <w:spacing w:before="240" w:after="240"/>
        <w:rPr>
          <w:rFonts w:ascii="Arial" w:hAnsi="Arial" w:cs="Arial"/>
          <w:sz w:val="22"/>
          <w:szCs w:val="22"/>
        </w:rPr>
      </w:pPr>
      <w:r w:rsidRPr="00BA2EC2">
        <w:rPr>
          <w:rFonts w:ascii="Arial" w:hAnsi="Arial" w:cs="Arial"/>
          <w:b/>
          <w:sz w:val="22"/>
          <w:szCs w:val="22"/>
        </w:rPr>
        <w:t xml:space="preserve">Note: </w:t>
      </w:r>
      <w:r>
        <w:rPr>
          <w:rFonts w:ascii="Arial" w:hAnsi="Arial" w:cs="Arial"/>
          <w:sz w:val="22"/>
          <w:szCs w:val="22"/>
        </w:rPr>
        <w:t>The y-axis represents the sum of the number of telehealth visits for each category of state.</w:t>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 xml:space="preserve">number of telehealth </w:t>
      </w:r>
      <w:r w:rsidR="004F1573">
        <w:rPr>
          <w:rFonts w:ascii="Arial" w:hAnsi="Arial" w:cs="Arial"/>
          <w:sz w:val="22"/>
          <w:szCs w:val="22"/>
        </w:rPr>
        <w:lastRenderedPageBreak/>
        <w:t>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5D216C5">
            <wp:extent cx="2978870" cy="2017336"/>
            <wp:effectExtent l="0" t="0" r="0"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038525" cy="2057736"/>
                    </a:xfrm>
                    <a:prstGeom prst="rect">
                      <a:avLst/>
                    </a:prstGeom>
                    <a:ln/>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594DF3B8">
            <wp:extent cx="3007150" cy="2007909"/>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58131" cy="2041950"/>
                    </a:xfrm>
                    <a:prstGeom prst="rect">
                      <a:avLst/>
                    </a:prstGeom>
                    <a:ln/>
                  </pic:spPr>
                </pic:pic>
              </a:graphicData>
            </a:graphic>
          </wp:inline>
        </w:drawing>
      </w:r>
    </w:p>
    <w:p w14:paraId="5EED4E9D" w14:textId="1D318819" w:rsidR="000532D7" w:rsidRPr="000532D7" w:rsidRDefault="000532D7" w:rsidP="000532D7">
      <w:pPr>
        <w:spacing w:before="240" w:after="240"/>
        <w:rPr>
          <w:rFonts w:ascii="Arial" w:hAnsi="Arial" w:cs="Arial"/>
          <w:sz w:val="22"/>
          <w:szCs w:val="22"/>
        </w:rPr>
      </w:pPr>
      <w:r w:rsidRPr="00BA2EC2">
        <w:rPr>
          <w:rFonts w:ascii="Arial" w:hAnsi="Arial" w:cs="Arial"/>
          <w:b/>
          <w:sz w:val="22"/>
          <w:szCs w:val="22"/>
        </w:rPr>
        <w:t>Note:</w:t>
      </w:r>
      <w:r>
        <w:rPr>
          <w:rFonts w:ascii="Arial" w:hAnsi="Arial" w:cs="Arial"/>
          <w:sz w:val="22"/>
          <w:szCs w:val="22"/>
        </w:rPr>
        <w:t xml:space="preserve"> In Figures 3 and 4, the y-axis represents the sum of the number of telehealth visits for each year.</w:t>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Therefore, this research will provide insight into ways that the use of telehealth services can increase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Num.Obs.</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476C5E79" w14:textId="1CC4C6BF" w:rsidR="000D2E85" w:rsidRPr="00F762F4" w:rsidRDefault="000D2E85" w:rsidP="00F762F4">
      <w:pPr>
        <w:spacing w:line="480" w:lineRule="auto"/>
        <w:ind w:firstLine="720"/>
        <w:rPr>
          <w:rFonts w:ascii="Arial" w:hAnsi="Arial" w:cs="Arial"/>
          <w:bCs/>
          <w:sz w:val="22"/>
          <w:szCs w:val="22"/>
        </w:rPr>
      </w:pPr>
      <w:r w:rsidRPr="000D2E85">
        <w:rPr>
          <w:rFonts w:ascii="Arial" w:hAnsi="Arial" w:cs="Arial"/>
          <w:color w:val="000000"/>
          <w:sz w:val="22"/>
          <w:szCs w:val="22"/>
        </w:rPr>
        <w:lastRenderedPageBreak/>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6C9FE602" w14:textId="1C49B08D" w:rsidR="005270FB" w:rsidRDefault="009E4C9E" w:rsidP="005270FB">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10110955" w14:textId="5C881BD0" w:rsidR="001936CB" w:rsidRPr="00E91127" w:rsidRDefault="001936CB" w:rsidP="00DE0F1F">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who 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 xml:space="preserve">Previous research has found that urban areas have the more consistent internet access than rural areas, making virtual healthcare inaccessible to everyone (Lythreatis et al., 2022 </w:t>
      </w:r>
      <w:r w:rsidR="00E7707E">
        <w:rPr>
          <w:rFonts w:ascii="Arial" w:hAnsi="Arial" w:cs="Arial"/>
          <w:color w:val="000000"/>
          <w:sz w:val="22"/>
          <w:szCs w:val="22"/>
        </w:rPr>
        <w:t>;</w:t>
      </w:r>
      <w:r w:rsidRPr="00E91127">
        <w:rPr>
          <w:rFonts w:ascii="Arial" w:hAnsi="Arial" w:cs="Arial"/>
          <w:color w:val="000000"/>
          <w:sz w:val="22"/>
          <w:szCs w:val="22"/>
        </w:rPr>
        <w:t xml:space="preserve"> Douthit et al., 2015).</w:t>
      </w:r>
    </w:p>
    <w:p w14:paraId="79C8EADE" w14:textId="0C4F2CB6" w:rsidR="001936CB" w:rsidRPr="00F672CC" w:rsidRDefault="001936CB" w:rsidP="007B733E">
      <w:pPr>
        <w:spacing w:line="480" w:lineRule="auto"/>
        <w:ind w:firstLine="720"/>
        <w:rPr>
          <w:rFonts w:ascii="Arial" w:hAnsi="Arial" w:cs="Arial"/>
          <w:b/>
          <w:bCs/>
          <w:sz w:val="22"/>
          <w:szCs w:val="22"/>
        </w:rPr>
      </w:pPr>
      <w:r w:rsidRPr="00F672CC">
        <w:rPr>
          <w:rFonts w:ascii="Arial" w:hAnsi="Arial" w:cs="Arial"/>
          <w:color w:val="000000"/>
          <w:sz w:val="22"/>
          <w:szCs w:val="22"/>
        </w:rPr>
        <w:t xml:space="preserve">The </w:t>
      </w:r>
      <w:r w:rsidRPr="00F672CC">
        <w:rPr>
          <w:rFonts w:ascii="Arial" w:hAnsi="Arial" w:cs="Arial"/>
          <w:b/>
          <w:bCs/>
          <w:color w:val="000000"/>
          <w:sz w:val="22"/>
          <w:szCs w:val="22"/>
        </w:rPr>
        <w:t>“With Internet”</w:t>
      </w:r>
      <w:r w:rsidRPr="00F672CC">
        <w:rPr>
          <w:rFonts w:ascii="Arial" w:hAnsi="Arial" w:cs="Arial"/>
          <w:color w:val="000000"/>
          <w:sz w:val="22"/>
          <w:szCs w:val="22"/>
        </w:rPr>
        <w:t xml:space="preserve"> variable’s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after controlling for state and year fixed effects.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w:t>
      </w:r>
      <w:r w:rsidRPr="00F672CC">
        <w:rPr>
          <w:rFonts w:ascii="Arial" w:hAnsi="Arial" w:cs="Arial"/>
          <w:color w:val="000000"/>
          <w:sz w:val="22"/>
          <w:szCs w:val="22"/>
        </w:rPr>
        <w:lastRenderedPageBreak/>
        <w:t>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5F8A6D34" w14:textId="7BB30BA2"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5D9A1A0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after controlling for </w:t>
      </w:r>
      <w:r w:rsidR="00A67313">
        <w:rPr>
          <w:rFonts w:ascii="Arial" w:hAnsi="Arial" w:cs="Arial"/>
          <w:color w:val="000000"/>
          <w:sz w:val="22"/>
          <w:szCs w:val="22"/>
        </w:rPr>
        <w:t>both</w:t>
      </w:r>
      <w:r w:rsidRPr="00E91127">
        <w:rPr>
          <w:rFonts w:ascii="Arial" w:hAnsi="Arial" w:cs="Arial"/>
          <w:color w:val="000000"/>
          <w:sz w:val="22"/>
          <w:szCs w:val="22"/>
        </w:rPr>
        <w:t xml:space="preserve"> fixed effects. This suggests that the number of hospitals has a strong </w:t>
      </w:r>
      <w:r>
        <w:rPr>
          <w:rFonts w:ascii="Arial" w:hAnsi="Arial" w:cs="Arial"/>
          <w:color w:val="000000"/>
          <w:sz w:val="22"/>
          <w:szCs w:val="22"/>
        </w:rPr>
        <w:t>significant 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3DB1CF53"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“GDP” </w:t>
      </w:r>
      <w:r>
        <w:rPr>
          <w:rFonts w:ascii="Arial" w:hAnsi="Arial" w:cs="Arial"/>
          <w:color w:val="000000"/>
          <w:sz w:val="22"/>
          <w:szCs w:val="22"/>
        </w:rPr>
        <w:t xml:space="preserve">variable’s relationship to the number of telehealth visits changes from -0.000*** to 0.003+ after controlling for state and year fixed effects. Once controlling for these factors, the GDP has a slight positive relationship with the number of telehealth visits. </w:t>
      </w:r>
      <w:r w:rsidR="00131454">
        <w:rPr>
          <w:rFonts w:ascii="Arial" w:hAnsi="Arial" w:cs="Arial"/>
          <w:color w:val="000000"/>
          <w:sz w:val="22"/>
          <w:szCs w:val="22"/>
        </w:rPr>
        <w:t xml:space="preserve">This relationship became insignificant after controlling for fixed effects suggesting it is not a variable that is having a strong impact on telehealth visits. </w:t>
      </w:r>
      <w:r w:rsidR="00BB6898">
        <w:rPr>
          <w:rFonts w:ascii="Arial" w:hAnsi="Arial" w:cs="Arial"/>
          <w:color w:val="000000"/>
          <w:sz w:val="22"/>
          <w:szCs w:val="22"/>
        </w:rPr>
        <w:t xml:space="preserve">The coefficient suggests a </w:t>
      </w:r>
      <w:r>
        <w:rPr>
          <w:rFonts w:ascii="Arial" w:hAnsi="Arial" w:cs="Arial"/>
          <w:color w:val="000000"/>
          <w:sz w:val="22"/>
          <w:szCs w:val="22"/>
        </w:rPr>
        <w:t xml:space="preserve">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 because of more economic stability. Since social </w:t>
      </w:r>
      <w:r>
        <w:rPr>
          <w:rFonts w:ascii="Arial" w:hAnsi="Arial" w:cs="Arial"/>
          <w:color w:val="000000"/>
          <w:sz w:val="22"/>
          <w:szCs w:val="22"/>
        </w:rPr>
        <w:lastRenderedPageBreak/>
        <w:t xml:space="preserve">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131454" w:rsidRPr="00BB6898">
        <w:rPr>
          <w:rFonts w:ascii="Arial" w:hAnsi="Arial" w:cs="Arial"/>
          <w:color w:val="00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577C834F" w14:textId="722F34EB"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0.048*** to 0.125** after controlling for state and year fixed effects. Once controlling for the fixed effects, the unemployment rate has a positive relationship with the number of telehealth visits. 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ffect can help isolate the relationships and can help improve understanding of which variables should be targeting in order to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has a positive correlation to telehealth visits suggesting that when there are more providers available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CE68F44">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7D66CEAF" w14:textId="43AEB021" w:rsidR="00957736" w:rsidRPr="00E754E3" w:rsidRDefault="00F63429" w:rsidP="00E754E3">
      <w:pPr>
        <w:spacing w:line="360" w:lineRule="auto"/>
        <w:rPr>
          <w:rFonts w:ascii="Arial" w:hAnsi="Arial" w:cs="Arial"/>
          <w:sz w:val="22"/>
          <w:szCs w:val="22"/>
        </w:rPr>
      </w:pPr>
      <w:r>
        <w:rPr>
          <w:rFonts w:ascii="Arial" w:hAnsi="Arial" w:cs="Arial"/>
          <w:sz w:val="22"/>
          <w:szCs w:val="22"/>
        </w:rPr>
        <w:t>Table 2 VIF had suggested GDP and UNRATE were most correlated with With Internet and Vehicles Owned. WRITE ABOUT THE CHANGES FOR THOSE VARIABLES. Mention how now they are all statistically significant.</w:t>
      </w: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Thebmj,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4">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5">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6">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Ashwood, J. and Mehrotra, Ateev and Cowling, David and Uscher-Pines,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et al..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Dwolatzky,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r>
        <w:rPr>
          <w:rFonts w:ascii="Arial" w:hAnsi="Arial" w:cs="Arial"/>
          <w:color w:val="000000"/>
          <w:sz w:val="22"/>
          <w:szCs w:val="22"/>
        </w:rPr>
        <w:t>Gajarawala,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4">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5">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Lythreatis,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lastRenderedPageBreak/>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States, District of Columbia and Puerto Rico: April 1, 2020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Bandeian,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r>
        <w:rPr>
          <w:rFonts w:ascii="Arial" w:hAnsi="Arial" w:cs="Arial"/>
          <w:color w:val="000000"/>
          <w:sz w:val="22"/>
          <w:szCs w:val="22"/>
        </w:rPr>
        <w:t>Wosik, Jedrek and Fudim, Marat and Cameron,&amp;nbsp,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F998F" w14:textId="77777777" w:rsidR="00DD632B" w:rsidRDefault="00DD632B" w:rsidP="009C6737">
      <w:r>
        <w:separator/>
      </w:r>
    </w:p>
  </w:endnote>
  <w:endnote w:type="continuationSeparator" w:id="0">
    <w:p w14:paraId="48FFD25F" w14:textId="77777777" w:rsidR="00DD632B" w:rsidRDefault="00DD632B"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A9DDF4C-5CA0-F541-AEB8-A093F73907CF}"/>
    <w:embedBold r:id="rId2" w:fontKey="{DC30F6F5-67AE-F44C-9C2C-DBD51D9B2504}"/>
    <w:embedItalic r:id="rId3" w:fontKey="{DEF5D6D3-49BB-7B42-AC84-322A875A48A1}"/>
    <w:embedBoldItalic r:id="rId4" w:fontKey="{75429013-6E21-C546-9B04-D86D9C62AE2F}"/>
  </w:font>
  <w:font w:name="Courier New">
    <w:panose1 w:val="02070309020205020404"/>
    <w:charset w:val="00"/>
    <w:family w:val="modern"/>
    <w:pitch w:val="fixed"/>
    <w:sig w:usb0="E0002AFF" w:usb1="C0007843" w:usb2="00000009" w:usb3="00000000" w:csb0="000001FF" w:csb1="00000000"/>
    <w:embedRegular r:id="rId5" w:fontKey="{818460A1-BD41-2E43-9355-F8B08E64E98E}"/>
  </w:font>
  <w:font w:name="Wingdings">
    <w:panose1 w:val="05000000000000000000"/>
    <w:charset w:val="4D"/>
    <w:family w:val="decorative"/>
    <w:pitch w:val="variable"/>
    <w:sig w:usb0="00000003" w:usb1="00000000" w:usb2="00000000" w:usb3="00000000" w:csb0="80000001" w:csb1="00000000"/>
    <w:embedRegular r:id="rId6" w:fontKey="{C148A645-8247-D94B-BD1C-609256666AC6}"/>
  </w:font>
  <w:font w:name="Symbol">
    <w:panose1 w:val="05050102010706020507"/>
    <w:charset w:val="02"/>
    <w:family w:val="decorative"/>
    <w:pitch w:val="variable"/>
    <w:sig w:usb0="00000000" w:usb1="10000000" w:usb2="00000000" w:usb3="00000000" w:csb0="80000000" w:csb1="00000000"/>
    <w:embedRegular r:id="rId7" w:fontKey="{E251E227-C820-9744-8413-F75CA9C44C3E}"/>
  </w:font>
  <w:font w:name="Arial">
    <w:panose1 w:val="020B0604020202020204"/>
    <w:charset w:val="00"/>
    <w:family w:val="swiss"/>
    <w:pitch w:val="variable"/>
    <w:sig w:usb0="E0002AFF" w:usb1="C0007843" w:usb2="00000009" w:usb3="00000000" w:csb0="000001FF" w:csb1="00000000"/>
    <w:embedRegular r:id="rId8" w:fontKey="{C243AB1A-5349-0F44-9B71-5897F7929116}"/>
    <w:embedBold r:id="rId9" w:fontKey="{F16E2CE5-B074-6B41-AE4A-54484EA36A6D}"/>
    <w:embedItalic r:id="rId10" w:fontKey="{0CE6D1B6-DB32-8342-8FB7-DAD97B6FA4E8}"/>
    <w:embedBoldItalic r:id="rId11" w:fontKey="{9A58D675-4DC7-B04C-A432-850B3F70657B}"/>
  </w:font>
  <w:font w:name="Roboto">
    <w:panose1 w:val="02000000000000000000"/>
    <w:charset w:val="00"/>
    <w:family w:val="auto"/>
    <w:pitch w:val="variable"/>
    <w:sig w:usb0="E0000AFF" w:usb1="5000217F" w:usb2="00000021" w:usb3="00000000" w:csb0="0000019F" w:csb1="00000000"/>
    <w:embedRegular r:id="rId12" w:fontKey="{53BFDBC3-029A-8D4E-91B3-7CF10F1E4D3C}"/>
  </w:font>
  <w:font w:name="Calibri">
    <w:panose1 w:val="020F0502020204030204"/>
    <w:charset w:val="00"/>
    <w:family w:val="swiss"/>
    <w:pitch w:val="variable"/>
    <w:sig w:usb0="E0002AFF" w:usb1="C000247B" w:usb2="00000009" w:usb3="00000000" w:csb0="000001FF" w:csb1="00000000"/>
    <w:embedRegular r:id="rId13" w:fontKey="{266E7553-3DF0-CD46-9767-1B0D0B5AFFE2}"/>
  </w:font>
  <w:font w:name="Cambria">
    <w:panose1 w:val="02040503050406030204"/>
    <w:charset w:val="00"/>
    <w:family w:val="roman"/>
    <w:pitch w:val="variable"/>
    <w:sig w:usb0="E00002FF" w:usb1="400004FF" w:usb2="00000000" w:usb3="00000000" w:csb0="0000019F" w:csb1="00000000"/>
    <w:embedRegular r:id="rId14" w:fontKey="{8D79FD20-5214-394F-A5D7-87E1B006A2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BF8E7" w14:textId="77777777" w:rsidR="00DD632B" w:rsidRDefault="00DD632B" w:rsidP="009C6737">
      <w:r>
        <w:separator/>
      </w:r>
    </w:p>
  </w:footnote>
  <w:footnote w:type="continuationSeparator" w:id="0">
    <w:p w14:paraId="130141E3" w14:textId="77777777" w:rsidR="00DD632B" w:rsidRDefault="00DD632B"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4"/>
  </w:num>
  <w:num w:numId="4" w16cid:durableId="1880436413">
    <w:abstractNumId w:val="3"/>
  </w:num>
  <w:num w:numId="5" w16cid:durableId="13667567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F305D"/>
    <w:rsid w:val="0011090E"/>
    <w:rsid w:val="00122FEA"/>
    <w:rsid w:val="00127AC9"/>
    <w:rsid w:val="00131454"/>
    <w:rsid w:val="00147ED9"/>
    <w:rsid w:val="0016420E"/>
    <w:rsid w:val="00171E76"/>
    <w:rsid w:val="0018410A"/>
    <w:rsid w:val="001936CB"/>
    <w:rsid w:val="001A1E8B"/>
    <w:rsid w:val="001A30BD"/>
    <w:rsid w:val="001B7C9A"/>
    <w:rsid w:val="001C4D2F"/>
    <w:rsid w:val="001F2D2A"/>
    <w:rsid w:val="00235670"/>
    <w:rsid w:val="00244D7B"/>
    <w:rsid w:val="00247FDE"/>
    <w:rsid w:val="00253F59"/>
    <w:rsid w:val="00262D89"/>
    <w:rsid w:val="00286603"/>
    <w:rsid w:val="002B0532"/>
    <w:rsid w:val="002F7178"/>
    <w:rsid w:val="00306E2B"/>
    <w:rsid w:val="00317243"/>
    <w:rsid w:val="00333622"/>
    <w:rsid w:val="00334C47"/>
    <w:rsid w:val="00335897"/>
    <w:rsid w:val="00373FAD"/>
    <w:rsid w:val="00381AA5"/>
    <w:rsid w:val="00384DD8"/>
    <w:rsid w:val="003C1107"/>
    <w:rsid w:val="003C39BA"/>
    <w:rsid w:val="004035AB"/>
    <w:rsid w:val="00420EA9"/>
    <w:rsid w:val="00432F8C"/>
    <w:rsid w:val="00437C84"/>
    <w:rsid w:val="00442CC0"/>
    <w:rsid w:val="00472FAA"/>
    <w:rsid w:val="00482CD4"/>
    <w:rsid w:val="004B192B"/>
    <w:rsid w:val="004C5D38"/>
    <w:rsid w:val="004D0F4F"/>
    <w:rsid w:val="004D2BAC"/>
    <w:rsid w:val="004D2CAD"/>
    <w:rsid w:val="004F1573"/>
    <w:rsid w:val="004F5A40"/>
    <w:rsid w:val="00525972"/>
    <w:rsid w:val="005270FB"/>
    <w:rsid w:val="00557455"/>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A2E04"/>
    <w:rsid w:val="006F30BE"/>
    <w:rsid w:val="00720238"/>
    <w:rsid w:val="00733C71"/>
    <w:rsid w:val="00751EAC"/>
    <w:rsid w:val="0075577E"/>
    <w:rsid w:val="007A0887"/>
    <w:rsid w:val="007B1A07"/>
    <w:rsid w:val="007B2FF5"/>
    <w:rsid w:val="007B733E"/>
    <w:rsid w:val="00812E08"/>
    <w:rsid w:val="0081415D"/>
    <w:rsid w:val="0083200D"/>
    <w:rsid w:val="00850D70"/>
    <w:rsid w:val="0085201B"/>
    <w:rsid w:val="008A2BC2"/>
    <w:rsid w:val="008A4FC8"/>
    <w:rsid w:val="008A567B"/>
    <w:rsid w:val="008F75A2"/>
    <w:rsid w:val="00920B5B"/>
    <w:rsid w:val="009221C6"/>
    <w:rsid w:val="00930022"/>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B126FB"/>
    <w:rsid w:val="00B41BA2"/>
    <w:rsid w:val="00B77581"/>
    <w:rsid w:val="00BA2EC2"/>
    <w:rsid w:val="00BB270B"/>
    <w:rsid w:val="00BB6898"/>
    <w:rsid w:val="00BD3BA3"/>
    <w:rsid w:val="00BD4B24"/>
    <w:rsid w:val="00C37991"/>
    <w:rsid w:val="00C447CB"/>
    <w:rsid w:val="00C57FDD"/>
    <w:rsid w:val="00C6216F"/>
    <w:rsid w:val="00C679B2"/>
    <w:rsid w:val="00C71923"/>
    <w:rsid w:val="00C74D6F"/>
    <w:rsid w:val="00C77588"/>
    <w:rsid w:val="00C82295"/>
    <w:rsid w:val="00C87EB9"/>
    <w:rsid w:val="00CD0766"/>
    <w:rsid w:val="00CD4AD3"/>
    <w:rsid w:val="00D01753"/>
    <w:rsid w:val="00D01DC7"/>
    <w:rsid w:val="00D03816"/>
    <w:rsid w:val="00D33C8B"/>
    <w:rsid w:val="00D46A1C"/>
    <w:rsid w:val="00D81EB8"/>
    <w:rsid w:val="00D877CE"/>
    <w:rsid w:val="00DB4603"/>
    <w:rsid w:val="00DC29AB"/>
    <w:rsid w:val="00DD632B"/>
    <w:rsid w:val="00DE0F1F"/>
    <w:rsid w:val="00E01A80"/>
    <w:rsid w:val="00E33F0B"/>
    <w:rsid w:val="00E63A1E"/>
    <w:rsid w:val="00E754E3"/>
    <w:rsid w:val="00E7707E"/>
    <w:rsid w:val="00E80356"/>
    <w:rsid w:val="00E83A49"/>
    <w:rsid w:val="00E86978"/>
    <w:rsid w:val="00E91127"/>
    <w:rsid w:val="00EA6AFA"/>
    <w:rsid w:val="00ED1819"/>
    <w:rsid w:val="00ED6B1A"/>
    <w:rsid w:val="00F225EE"/>
    <w:rsid w:val="00F363D7"/>
    <w:rsid w:val="00F4248E"/>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data.hrsa.gov/data/reports/datagrid?gridName=CMSFacilities" TargetMode="External"/><Relationship Id="rId2" Type="http://schemas.openxmlformats.org/officeDocument/2006/relationships/numbering" Target="numbering.xml"/><Relationship Id="rId16" Type="http://schemas.openxmlformats.org/officeDocument/2006/relationships/hyperlink" Target="https://data.census.gov/table?q=B28002:+Presence+and+Types+of+Internet+Subscriptions+in+Household&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d.stlouisfed.org/series/GDP"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ata.census.gov/table?q=B25044:+Tenure+by+Vehicles+Available&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mj.com/content/331/7521/903.full.pdf+html"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22</Pages>
  <Words>5001</Words>
  <Characters>28511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14</cp:revision>
  <cp:lastPrinted>2025-04-05T18:39:00Z</cp:lastPrinted>
  <dcterms:created xsi:type="dcterms:W3CDTF">2025-04-15T21:44:00Z</dcterms:created>
  <dcterms:modified xsi:type="dcterms:W3CDTF">2025-04-16T01:00:00Z</dcterms:modified>
</cp:coreProperties>
</file>